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7094"/>
      </w:tblGrid>
      <w:tr w:rsidR="00000000">
        <w:tc>
          <w:tcPr>
            <w:tcW w:w="9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Rechtspflicht 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MessEG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Mess- und Eichgesetz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§§ 31-33, 35 - Verwenden von Messgeräten, Anzeigepflicht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31: Anforderungen an das Verwenden von Messgeräten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Verwendet werden dürfen ausschließlich Messgeräte oder sonstige Messge</w:t>
            </w:r>
            <w:r>
              <w:rPr>
                <w:rFonts w:ascii="Arial" w:hAnsi="Arial" w:cs="Arial"/>
                <w:sz w:val="20"/>
                <w:szCs w:val="20"/>
              </w:rPr>
              <w:t>räte, die den Bestimmungen dieses Gesetzes und der auf seiner Grundlage erlassenen Rechtsverordnungen entsprechen. Sie müssen im Rahmen der vorgesehenen Verwendungsbedingungen eingesetzt werden.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ein Messgerät verwendet, hat sicherzustellen, dass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</w:t>
            </w:r>
            <w:r>
              <w:rPr>
                <w:rFonts w:ascii="Arial" w:hAnsi="Arial" w:cs="Arial"/>
                <w:sz w:val="20"/>
                <w:szCs w:val="20"/>
              </w:rPr>
              <w:t>e wesentlichen Anforderungen an das Messgerät nach § 6 Absatz 2 während der gesamten Zeit, in der das Messgerät verwendet wird, und bei der Zusammenschaltung mit anderen Geräten erfüllt sind, wobei anstelle der Fehlergrenzen nach § 6 Absatz 2 die Verkehrsf</w:t>
            </w:r>
            <w:r>
              <w:rPr>
                <w:rFonts w:ascii="Arial" w:hAnsi="Arial" w:cs="Arial"/>
                <w:sz w:val="20"/>
                <w:szCs w:val="20"/>
              </w:rPr>
              <w:t>ehlergrenzen einzuhalten sind,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die in einer Rechtsverordnung nach § 41 Nummer 3 enthaltenen Vorschriften über das Verwenden öffentlicher Messge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räte beachtet werden, wenn das Messgerät dazu verwendet wird, Messungen für jedermann vorzunehmen (öffentliche</w:t>
            </w:r>
            <w:r>
              <w:rPr>
                <w:rFonts w:ascii="Arial" w:hAnsi="Arial" w:cs="Arial"/>
                <w:sz w:val="20"/>
                <w:szCs w:val="20"/>
              </w:rPr>
              <w:t>s Messgerät),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das Messgerät nach § 37 Absatz 1 nicht ungeeicht verwendet wird,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Nachweise über erfolgte Wartungen, Reparaturen oder sonstige Eingriffe am Messgerät, einschließlich solcher durch elektronisch vorgenommene Maßnahmen, für einen Zeitraum v</w:t>
            </w:r>
            <w:r>
              <w:rPr>
                <w:rFonts w:ascii="Arial" w:hAnsi="Arial" w:cs="Arial"/>
                <w:sz w:val="20"/>
                <w:szCs w:val="20"/>
              </w:rPr>
              <w:t>on bis zu drei Monaten nach Ablauf der nach § 41 Nummer 6 bestimmten Eichfrist, längstens für fünf Jahre, aufbewahrt werden.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32: Anzeigepflicht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neue oder erneuerte Messgeräte verwendet, hat diese der nach Landesrecht zuständigen Behörde spätestens s</w:t>
            </w:r>
            <w:r>
              <w:rPr>
                <w:rFonts w:ascii="Arial" w:hAnsi="Arial" w:cs="Arial"/>
                <w:sz w:val="20"/>
                <w:szCs w:val="20"/>
              </w:rPr>
              <w:t>echs Wochen nach Inbetriebnahme anzuzeigen.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Anzugeben sind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die Geräteart,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der Hersteller,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die Typbezeichnung,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das Jahr der Kennzeichnung des Messgeräts sowie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die Anschrift desjenigen, der das Messgerät verwendet.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Anzeigepflicht ist nicht auf Maßverkörperungen oder Zusatzeinrichtungen anzuwenden.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Anzeigepflicht kann auch dadurch erfüllt werden, dass der Verpflichtete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die zuständige Behörde spätestens sechs Wochen nach Inbetriebnahme des ersten Messgeräts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Messgeräteart darüber informiert oder informieren lässt, welche Messgerätearten er verwendet; dabei ist die Anschrift des Verpflichteten anzugeben, und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sicherstellt, dass Übersichten der verwendeten Messgeräte mit den in Absatz 1 Satz 2 genannten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Angaben der zuständigen Behörde auf Anforderung unverzüglich zur Verfügung gestellt werden.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nach Landesrecht zuständigen Behörden stellen sicher, dass eine zentrale, benutzerfreundliche Möglichkeit zur Erfüllung der Anzeigepflicht auf elektronischem </w:t>
            </w:r>
            <w:r>
              <w:rPr>
                <w:rFonts w:ascii="Arial" w:hAnsi="Arial" w:cs="Arial"/>
                <w:sz w:val="20"/>
                <w:szCs w:val="20"/>
              </w:rPr>
              <w:t>Weg oder per Telefax sowie eine einheitliche Postadresse zur Verfügung stehen.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33: Verwenden von Messwerten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Messwerte verwendet, hat sich im Rahmen seiner Möglichkeiten zu vergewissern, dass das Messgerät die gesetzlichen Anforderungen erfüllt und h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sich von der Person, die das Messgerät verwendet, bestätigen zu lassen, dass sie ihre Verpflichtungen erfüllt.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35: Ausnahmen für geschlossene Grundstücksnutzungen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Verwendet ein Vertragspartner Messgeräte im Rahmen geschäftlicher Zwecke zur Ermittlung</w:t>
            </w:r>
            <w:r>
              <w:rPr>
                <w:rFonts w:ascii="Arial" w:hAnsi="Arial" w:cs="Arial"/>
                <w:sz w:val="20"/>
                <w:szCs w:val="20"/>
              </w:rPr>
              <w:t xml:space="preserve"> leitungsgebundener Leistungen unter gleich bleibenden gewerblichen Vertragspartnern, kann er bei der nach Landesrecht zuständigen Behörde schriftlich beantragen, für diese Messgeräte von den Regelungen des Gesetzes befreit zu werden, wenn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die anderen V</w:t>
            </w:r>
            <w:r>
              <w:rPr>
                <w:rFonts w:ascii="Arial" w:hAnsi="Arial" w:cs="Arial"/>
                <w:sz w:val="20"/>
                <w:szCs w:val="20"/>
              </w:rPr>
              <w:t>ertragspartner ihr Einverständnis zu der Befreiung erklärt haben und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-&gt; sich die Betriebsstätten der Vertragspartner auf derselben räumlich abgegrenzten Fläche befinden.</w:t>
            </w:r>
          </w:p>
        </w:tc>
      </w:tr>
    </w:tbl>
    <w:p w:rsidR="00000000" w:rsidRDefault="004B0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0"/>
        <w:gridCol w:w="7093"/>
      </w:tblGrid>
      <w:tr w:rsidR="00000000">
        <w:tc>
          <w:tcPr>
            <w:tcW w:w="9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Rechtspflicht 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MessEG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Mess- und Eichgesetz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37</w:t>
            </w:r>
          </w:p>
        </w:tc>
      </w:tr>
      <w:tr w:rsidR="00000000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37: Eichpflicht</w:t>
            </w:r>
          </w:p>
          <w:p w:rsidR="00000000" w:rsidRDefault="004B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Messgeräte dürfen nicht ungeeicht verwendet werden,</w:t>
            </w:r>
          </w:p>
        </w:tc>
      </w:tr>
    </w:tbl>
    <w:p w:rsidR="004B0383" w:rsidRDefault="004B0383"/>
    <w:sectPr w:rsidR="004B0383">
      <w:headerReference w:type="default" r:id="rId6"/>
      <w:footerReference w:type="default" r:id="rId7"/>
      <w:pgSz w:w="11907" w:h="1683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83" w:rsidRDefault="004B0383">
      <w:pPr>
        <w:spacing w:after="0" w:line="240" w:lineRule="auto"/>
      </w:pPr>
      <w:r>
        <w:separator/>
      </w:r>
    </w:p>
  </w:endnote>
  <w:endnote w:type="continuationSeparator" w:id="0">
    <w:p w:rsidR="004B0383" w:rsidRDefault="004B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599"/>
    </w:tblGrid>
    <w:tr w:rsidR="00000000">
      <w:tc>
        <w:tcPr>
          <w:tcW w:w="992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00000" w:rsidRDefault="004B03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 w:rsidR="008D5CE5">
            <w:rPr>
              <w:rFonts w:ascii="Arial" w:hAnsi="Arial" w:cs="Arial"/>
              <w:sz w:val="16"/>
              <w:szCs w:val="16"/>
            </w:rPr>
            <w:fldChar w:fldCharType="separate"/>
          </w:r>
          <w:r w:rsidR="00F12D8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NUMPAGES</w:instrText>
          </w:r>
          <w:r w:rsidR="008D5CE5">
            <w:rPr>
              <w:rFonts w:ascii="Arial" w:hAnsi="Arial" w:cs="Arial"/>
              <w:sz w:val="16"/>
              <w:szCs w:val="16"/>
            </w:rPr>
            <w:fldChar w:fldCharType="separate"/>
          </w:r>
          <w:r w:rsidR="00F12D8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83" w:rsidRDefault="004B0383">
      <w:pPr>
        <w:spacing w:after="0" w:line="240" w:lineRule="auto"/>
      </w:pPr>
      <w:r>
        <w:separator/>
      </w:r>
    </w:p>
  </w:footnote>
  <w:footnote w:type="continuationSeparator" w:id="0">
    <w:p w:rsidR="004B0383" w:rsidRDefault="004B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491"/>
      <w:gridCol w:w="4717"/>
      <w:gridCol w:w="2375"/>
    </w:tblGrid>
    <w:tr w:rsidR="00000000">
      <w:tc>
        <w:tcPr>
          <w:tcW w:w="2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00000" w:rsidRDefault="008D5CE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1432560" cy="4572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000000" w:rsidRDefault="004B03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Rechtspflichten </w:t>
          </w:r>
          <w:r w:rsidR="008D5CE5">
            <w:rPr>
              <w:rFonts w:ascii="Arial" w:hAnsi="Arial" w:cs="Arial"/>
              <w:b/>
              <w:bCs/>
              <w:sz w:val="24"/>
              <w:szCs w:val="24"/>
            </w:rPr>
            <w:t>MessEG</w:t>
          </w:r>
        </w:p>
      </w:tc>
      <w:tc>
        <w:tcPr>
          <w:tcW w:w="25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00000" w:rsidRDefault="004B03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000000" w:rsidRDefault="004B03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E5"/>
    <w:rsid w:val="004B0383"/>
    <w:rsid w:val="00661594"/>
    <w:rsid w:val="008D5CE5"/>
    <w:rsid w:val="00F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41503-6D33-40CB-9C45-CC05FF4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CE5"/>
  </w:style>
  <w:style w:type="paragraph" w:styleId="Fuzeile">
    <w:name w:val="footer"/>
    <w:basedOn w:val="Standard"/>
    <w:link w:val="FuzeileZchn"/>
    <w:uiPriority w:val="99"/>
    <w:unhideWhenUsed/>
    <w:rsid w:val="008D5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Aldenhövel</dc:creator>
  <cp:keywords/>
  <dc:description/>
  <cp:lastModifiedBy>Karsten Aldenhövel</cp:lastModifiedBy>
  <cp:revision>2</cp:revision>
  <dcterms:created xsi:type="dcterms:W3CDTF">2014-12-15T08:29:00Z</dcterms:created>
  <dcterms:modified xsi:type="dcterms:W3CDTF">2014-12-15T08:29:00Z</dcterms:modified>
</cp:coreProperties>
</file>